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F463" w14:textId="2B7D2F7D" w:rsidR="00261470" w:rsidRDefault="00261470" w:rsidP="00261470">
      <w:pPr>
        <w:jc w:val="center"/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noProof/>
          <w:color w:val="403F00"/>
          <w:sz w:val="31"/>
          <w:szCs w:val="31"/>
        </w:rPr>
        <w:drawing>
          <wp:inline distT="0" distB="0" distL="0" distR="0" wp14:anchorId="7C93A9E5" wp14:editId="615C3E7C">
            <wp:extent cx="1351722" cy="1351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VA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1" cy="136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39C7FD" w14:textId="77777777" w:rsidR="00261470" w:rsidRDefault="00261470" w:rsidP="00261470">
      <w:pPr>
        <w:jc w:val="center"/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</w:pPr>
    </w:p>
    <w:p w14:paraId="5E6466F4" w14:textId="77777777" w:rsidR="00261470" w:rsidRDefault="00261470" w:rsidP="00261470">
      <w:pPr>
        <w:jc w:val="center"/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</w:pPr>
    </w:p>
    <w:p w14:paraId="20D0A987" w14:textId="55BA127F" w:rsidR="00A4330F" w:rsidRDefault="00261470" w:rsidP="00261470">
      <w:pPr>
        <w:jc w:val="center"/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  <w:t>Convenient Healthcare VA</w:t>
      </w:r>
      <w:r w:rsidR="00A4330F" w:rsidRPr="00A4330F"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  <w:t xml:space="preserve"> Guidelines to Weight</w:t>
      </w:r>
    </w:p>
    <w:p w14:paraId="43270E6B" w14:textId="1097D43E" w:rsidR="00A4330F" w:rsidRDefault="00A4330F" w:rsidP="00261470">
      <w:pPr>
        <w:jc w:val="center"/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</w:pPr>
      <w:r w:rsidRPr="00A4330F"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  <w:t>Management</w:t>
      </w:r>
    </w:p>
    <w:p w14:paraId="2BB603B9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31"/>
          <w:szCs w:val="31"/>
        </w:rPr>
      </w:pPr>
    </w:p>
    <w:p w14:paraId="3F71ECD7" w14:textId="3BD7301C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  <w:t>Introduction</w:t>
      </w:r>
    </w:p>
    <w:p w14:paraId="495D73EB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</w:pPr>
    </w:p>
    <w:p w14:paraId="6D89A25B" w14:textId="7294C8E6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Obesity is one of the most common medical problems in the United States and it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increases the risk for many other illnesses such as diabetes, hypertension, atherosclerosis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(hardening of the arteries), heart disease, strokes, kidney failure, and breast, endometrial,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gallbladder, kidney and colon cancer. "Obesity should not be considered a character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weakness and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should not be thought of as a result of being out of control." (Blackburn,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i/>
          <w:iCs/>
          <w:color w:val="403F00"/>
          <w:sz w:val="27"/>
          <w:szCs w:val="27"/>
        </w:rPr>
        <w:t xml:space="preserve">Advanced Studies in Medicine-Johns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Hopkins, 1/2002). Rather, it should be treated as a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chronic disease like hypertension and diabetes for which long-term drug treatment may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need to be continued "for years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and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perhaps a lifetime to improve health and maintain a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healthy weight." </w:t>
      </w:r>
      <w:r w:rsidRPr="00A4330F">
        <w:rPr>
          <w:rFonts w:ascii="Times New Roman" w:eastAsia="Times New Roman" w:hAnsi="Times New Roman" w:cs="Times New Roman"/>
          <w:i/>
          <w:iCs/>
          <w:color w:val="403F00"/>
          <w:sz w:val="27"/>
          <w:szCs w:val="27"/>
        </w:rPr>
        <w:t>(</w:t>
      </w:r>
      <w:proofErr w:type="spellStart"/>
      <w:r w:rsidRPr="00A4330F">
        <w:rPr>
          <w:rFonts w:ascii="Times New Roman" w:eastAsia="Times New Roman" w:hAnsi="Times New Roman" w:cs="Times New Roman"/>
          <w:i/>
          <w:iCs/>
          <w:color w:val="403F00"/>
          <w:sz w:val="27"/>
          <w:szCs w:val="27"/>
        </w:rPr>
        <w:t>NIHPub</w:t>
      </w:r>
      <w:proofErr w:type="spellEnd"/>
      <w:r w:rsidRPr="00A4330F">
        <w:rPr>
          <w:rFonts w:ascii="Times New Roman" w:eastAsia="Times New Roman" w:hAnsi="Times New Roman" w:cs="Times New Roman"/>
          <w:i/>
          <w:iCs/>
          <w:color w:val="403F00"/>
          <w:sz w:val="27"/>
          <w:szCs w:val="27"/>
        </w:rPr>
        <w:t xml:space="preserve"> #97-419],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12/1996)</w:t>
      </w:r>
    </w:p>
    <w:p w14:paraId="62ED11F8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</w:p>
    <w:p w14:paraId="632D55CC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  <w:t>Benefits of Weight Loss</w:t>
      </w:r>
    </w:p>
    <w:p w14:paraId="2FB89ADA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</w:pPr>
    </w:p>
    <w:p w14:paraId="33668AB6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Innumerable medical studies have now shown that weight reduction in obese patients and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overweight patients with increased comorbid risks provides significant medical benefit.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In 1996, in attempt to thwart our nation's obesity epidemic, The National Institutes of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Health and Surgeon General C. Everett Koop, M.D. in the </w:t>
      </w:r>
      <w:r w:rsidRPr="00A4330F">
        <w:rPr>
          <w:rFonts w:ascii="Times New Roman" w:eastAsia="Times New Roman" w:hAnsi="Times New Roman" w:cs="Times New Roman"/>
          <w:i/>
          <w:iCs/>
          <w:color w:val="403F00"/>
          <w:sz w:val="27"/>
          <w:szCs w:val="27"/>
        </w:rPr>
        <w:t xml:space="preserve">Shape Up America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program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proposal stated, "Comorbid conditions increase the risk of disability or premature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mortality" (subsequently., obesity has been shown to decrease life expectancy by more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than four years).</w:t>
      </w:r>
    </w:p>
    <w:p w14:paraId="73FF5772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</w:p>
    <w:p w14:paraId="2A8AC4AF" w14:textId="25CAB736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The National Institutes of Health delineated comorbid conditions as:</w:t>
      </w:r>
    </w:p>
    <w:p w14:paraId="6CE363C3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</w:p>
    <w:p w14:paraId="5630D413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-Hypertension</w:t>
      </w:r>
    </w:p>
    <w:p w14:paraId="28B34DBE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-Cardiovascular disease</w:t>
      </w:r>
    </w:p>
    <w:p w14:paraId="5E430567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-Dyslipidemia</w:t>
      </w:r>
    </w:p>
    <w:p w14:paraId="60BC908E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-Type 1 or 2 diabetes</w:t>
      </w:r>
    </w:p>
    <w:p w14:paraId="2205716D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lastRenderedPageBreak/>
        <w:t>-Obstructive sleep apnea</w:t>
      </w:r>
    </w:p>
    <w:p w14:paraId="513C7F30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-Osteoarthritis</w:t>
      </w:r>
    </w:p>
    <w:p w14:paraId="21CAC2DC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-Female infertility</w:t>
      </w:r>
    </w:p>
    <w:p w14:paraId="3AFCFAA8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-Lower extremity venous stasis disease</w:t>
      </w:r>
    </w:p>
    <w:p w14:paraId="3700C11A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-Gastroesophageal reflux disease</w:t>
      </w:r>
    </w:p>
    <w:p w14:paraId="25969C7E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-Urinary stress incontinence, and</w:t>
      </w:r>
    </w:p>
    <w:p w14:paraId="40A96870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-Idiopathic intracranial hypertension.</w:t>
      </w:r>
    </w:p>
    <w:p w14:paraId="46D5F015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</w:p>
    <w:p w14:paraId="0451760B" w14:textId="18682415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It also stated "An increased risk for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all-cause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mortality has been shown for BMI &gt;27.</w:t>
      </w:r>
    </w:p>
    <w:p w14:paraId="2090E64C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7"/>
          <w:szCs w:val="27"/>
        </w:rPr>
      </w:pPr>
    </w:p>
    <w:p w14:paraId="2F8483DC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"</w:t>
      </w:r>
      <w:r w:rsidRPr="00A4330F"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  <w:t>Life-style Modification</w:t>
      </w:r>
    </w:p>
    <w:p w14:paraId="25553805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7"/>
          <w:szCs w:val="27"/>
        </w:rPr>
      </w:pPr>
    </w:p>
    <w:p w14:paraId="77DA1A91" w14:textId="48813018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8"/>
          <w:szCs w:val="28"/>
        </w:rPr>
      </w:pP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Lifestyle modification through diet, exercise, and changes in behaviors associated with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eating is essential to lose and then to maintain weight loss. Although a 5 -10% weight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loss may be perceived by a patient as insignificant, such success should be praised as it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improves many obesity-related conditions.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At 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>Convenient Healthcare VA (CHCVA)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, our goal is to assist our patients in the long-term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management of their weight. We continually stress and reinforce a cardiovascular</w:t>
      </w:r>
      <w:r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exercise program (for example, walking for </w:t>
      </w:r>
      <w:r w:rsidRPr="00A4330F">
        <w:rPr>
          <w:rFonts w:ascii="Times New Roman" w:eastAsia="Times New Roman" w:hAnsi="Times New Roman" w:cs="Times New Roman"/>
          <w:i/>
          <w:iCs/>
          <w:color w:val="403F00"/>
          <w:sz w:val="18"/>
          <w:szCs w:val="18"/>
        </w:rPr>
        <w:t>1/2 -3/4</w:t>
      </w:r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</w:t>
      </w:r>
      <w:proofErr w:type="spellStart"/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>hrs</w:t>
      </w:r>
      <w:proofErr w:type="spellEnd"/>
      <w:r w:rsidRPr="00A4330F">
        <w:rPr>
          <w:rFonts w:ascii="Times New Roman" w:eastAsia="Times New Roman" w:hAnsi="Times New Roman" w:cs="Times New Roman"/>
          <w:color w:val="403F00"/>
          <w:sz w:val="27"/>
          <w:szCs w:val="27"/>
        </w:rPr>
        <w:t xml:space="preserve"> six days per week) and prescribe a d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iet that is low in simple sugars with reduced saturated fats and carbohydrates. </w:t>
      </w:r>
    </w:p>
    <w:p w14:paraId="236E2A59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8"/>
          <w:szCs w:val="28"/>
        </w:rPr>
      </w:pPr>
    </w:p>
    <w:p w14:paraId="4684F096" w14:textId="053A2A1C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8"/>
          <w:szCs w:val="28"/>
        </w:rPr>
      </w:pP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Eating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within two hours of going to bed (hibernation) must be stopped. Fast foods, fried foods,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all-you-can-eat buffets, high-density/high calorie sit down restaurants, sweet-teas, sodas,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bottled juices, and other sugar/carbohydrate snacks need to be eliminated. Alcohol,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because of both calories and potential interactions with medications, is not allowed.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"Because obesity is a chronic condition, pharmacotherapy should be initiated with the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expectation that long-term use will most likely be needed" </w:t>
      </w:r>
      <w:r w:rsidRPr="00A4330F">
        <w:rPr>
          <w:rFonts w:ascii="Times New Roman" w:eastAsia="Times New Roman" w:hAnsi="Times New Roman" w:cs="Times New Roman"/>
          <w:i/>
          <w:iCs/>
          <w:color w:val="403F00"/>
          <w:sz w:val="28"/>
          <w:szCs w:val="28"/>
        </w:rPr>
        <w:t>(National Task Force on the</w:t>
      </w:r>
      <w:r>
        <w:rPr>
          <w:rFonts w:ascii="Times New Roman" w:eastAsia="Times New Roman" w:hAnsi="Times New Roman" w:cs="Times New Roman"/>
          <w:i/>
          <w:iCs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i/>
          <w:iCs/>
          <w:color w:val="403F00"/>
          <w:sz w:val="28"/>
          <w:szCs w:val="28"/>
        </w:rPr>
        <w:t xml:space="preserve">Prevention and Treatment of Obesity. JAMA, 1996).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Use of anorectic medications assist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in weight loss while providing reinforcement that lifestyle modifications are effective.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</w:p>
    <w:p w14:paraId="485689CB" w14:textId="77777777" w:rsidR="00A4330F" w:rsidRDefault="00A4330F" w:rsidP="00A4330F">
      <w:pPr>
        <w:rPr>
          <w:rFonts w:ascii="Times New Roman" w:eastAsia="Times New Roman" w:hAnsi="Times New Roman" w:cs="Times New Roman"/>
          <w:color w:val="403F00"/>
          <w:sz w:val="28"/>
          <w:szCs w:val="28"/>
        </w:rPr>
      </w:pPr>
    </w:p>
    <w:p w14:paraId="4C3B6DA5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8"/>
          <w:szCs w:val="28"/>
        </w:rPr>
      </w:pPr>
      <w:r w:rsidRPr="00A4330F">
        <w:rPr>
          <w:rFonts w:ascii="Times New Roman" w:eastAsia="Times New Roman" w:hAnsi="Times New Roman" w:cs="Times New Roman"/>
          <w:b/>
          <w:bCs/>
          <w:color w:val="403F00"/>
          <w:sz w:val="28"/>
          <w:szCs w:val="28"/>
        </w:rPr>
        <w:t>Use of Diuretics</w:t>
      </w:r>
    </w:p>
    <w:p w14:paraId="1BFAE158" w14:textId="77777777" w:rsidR="00A4330F" w:rsidRDefault="00A4330F" w:rsidP="00A4330F">
      <w:pPr>
        <w:rPr>
          <w:rFonts w:ascii="Times New Roman" w:eastAsia="Times New Roman" w:hAnsi="Times New Roman" w:cs="Times New Roman"/>
          <w:b/>
          <w:bCs/>
          <w:color w:val="403F00"/>
          <w:sz w:val="28"/>
          <w:szCs w:val="28"/>
        </w:rPr>
      </w:pPr>
    </w:p>
    <w:p w14:paraId="2C9836CE" w14:textId="545B5852" w:rsidR="00A4330F" w:rsidRPr="00A4330F" w:rsidRDefault="00A4330F" w:rsidP="00A4330F">
      <w:pPr>
        <w:rPr>
          <w:rFonts w:ascii="Times New Roman" w:eastAsia="Times New Roman" w:hAnsi="Times New Roman" w:cs="Times New Roman"/>
        </w:rPr>
      </w:pP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Since many of our patients have increased total body salt-water due to a number of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c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factors including body habitus and high salt intake, we frequently will prescribe a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diuretic. We most commonly prescribe </w:t>
      </w:r>
      <w:proofErr w:type="spellStart"/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Maxzide</w:t>
      </w:r>
      <w:proofErr w:type="spellEnd"/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, a potassium-sparing diuretic. If this is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prescribed, periodic monitoring of both blood sugar and potassium levels is necessary as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diuretics can cause both increased blood sugar and decreased potassium. It is the policy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>CHCVA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to test these blood levels every ten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lastRenderedPageBreak/>
        <w:t>weeks. If the patient does not get these tested,</w:t>
      </w:r>
      <w:r>
        <w:rPr>
          <w:rFonts w:ascii="Times New Roman" w:eastAsia="Times New Roman" w:hAnsi="Times New Roman" w:cs="Times New Roman"/>
          <w:color w:val="403F00"/>
          <w:sz w:val="28"/>
          <w:szCs w:val="28"/>
        </w:rPr>
        <w:t xml:space="preserve"> </w:t>
      </w:r>
      <w:r w:rsidRPr="00A4330F">
        <w:rPr>
          <w:rFonts w:ascii="Times New Roman" w:eastAsia="Times New Roman" w:hAnsi="Times New Roman" w:cs="Times New Roman"/>
          <w:color w:val="403F00"/>
          <w:sz w:val="28"/>
          <w:szCs w:val="28"/>
        </w:rPr>
        <w:t>the diuretic cannot be prescribed (the appetite suppressant can be prescribed)</w:t>
      </w:r>
    </w:p>
    <w:p w14:paraId="076E85DA" w14:textId="77777777" w:rsidR="003B1454" w:rsidRDefault="003B1454"/>
    <w:sectPr w:rsidR="003B1454" w:rsidSect="006A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F"/>
    <w:rsid w:val="00261470"/>
    <w:rsid w:val="003B1454"/>
    <w:rsid w:val="006A0A51"/>
    <w:rsid w:val="00A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7B1E1"/>
  <w15:chartTrackingRefBased/>
  <w15:docId w15:val="{AD06F416-EE5B-C441-8717-80F19856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A4330F"/>
  </w:style>
  <w:style w:type="character" w:customStyle="1" w:styleId="xrs55">
    <w:name w:val="xr_s55"/>
    <w:basedOn w:val="DefaultParagraphFont"/>
    <w:rsid w:val="00A4330F"/>
  </w:style>
  <w:style w:type="character" w:customStyle="1" w:styleId="xrs57">
    <w:name w:val="xr_s57"/>
    <w:basedOn w:val="DefaultParagraphFont"/>
    <w:rsid w:val="00A4330F"/>
  </w:style>
  <w:style w:type="character" w:customStyle="1" w:styleId="xrs60">
    <w:name w:val="xr_s60"/>
    <w:basedOn w:val="DefaultParagraphFont"/>
    <w:rsid w:val="00A4330F"/>
  </w:style>
  <w:style w:type="character" w:customStyle="1" w:styleId="xrs58">
    <w:name w:val="xr_s58"/>
    <w:basedOn w:val="DefaultParagraphFont"/>
    <w:rsid w:val="00A4330F"/>
  </w:style>
  <w:style w:type="character" w:customStyle="1" w:styleId="xrs61">
    <w:name w:val="xr_s61"/>
    <w:basedOn w:val="DefaultParagraphFont"/>
    <w:rsid w:val="00A4330F"/>
  </w:style>
  <w:style w:type="character" w:customStyle="1" w:styleId="xrs63">
    <w:name w:val="xr_s63"/>
    <w:basedOn w:val="DefaultParagraphFont"/>
    <w:rsid w:val="00A4330F"/>
  </w:style>
  <w:style w:type="character" w:customStyle="1" w:styleId="xrs62">
    <w:name w:val="xr_s62"/>
    <w:basedOn w:val="DefaultParagraphFont"/>
    <w:rsid w:val="00A4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charlene bell</cp:lastModifiedBy>
  <cp:revision>1</cp:revision>
  <dcterms:created xsi:type="dcterms:W3CDTF">2019-08-23T14:25:00Z</dcterms:created>
  <dcterms:modified xsi:type="dcterms:W3CDTF">2019-08-23T14:47:00Z</dcterms:modified>
</cp:coreProperties>
</file>